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column">
              <wp:posOffset>2423795</wp:posOffset>
            </wp:positionH>
            <wp:positionV relativeFrom="paragraph">
              <wp:posOffset>-314960</wp:posOffset>
            </wp:positionV>
            <wp:extent cx="843915" cy="922655"/>
            <wp:effectExtent l="0" t="0" r="0" b="0"/>
            <wp:wrapSquare wrapText="bothSides"/>
            <wp:docPr id="1" name="Picture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bCs/>
          <w:i/>
          <w:i/>
          <w:color w:val="000000"/>
        </w:rPr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 w:ascii="Arial" w:hAnsi="Arial"/>
          <w:b/>
          <w:bCs/>
          <w:i/>
          <w:color w:val="000000"/>
        </w:rPr>
        <w:t xml:space="preserve">MINISTÉRIO DA DEFESA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 w:ascii="Arial" w:hAnsi="Arial"/>
          <w:b/>
          <w:bCs/>
          <w:i/>
          <w:color w:val="000000"/>
        </w:rPr>
        <w:t xml:space="preserve">EXÉRCITO BRASILEIRO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 w:ascii="Arial" w:hAnsi="Arial"/>
          <w:b/>
          <w:bCs/>
          <w:i/>
          <w:color w:val="000000"/>
        </w:rPr>
        <w:t>2º BATALHÃO DE INFANTARIA DE SELVA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 w:ascii="Arial" w:hAnsi="Arial"/>
          <w:b/>
          <w:bCs/>
          <w:i/>
          <w:color w:val="000000"/>
        </w:rPr>
        <w:t xml:space="preserve"> </w:t>
      </w:r>
      <w:r>
        <w:rPr>
          <w:rFonts w:cs="Arial" w:ascii="Arial" w:hAnsi="Arial"/>
          <w:b/>
          <w:bCs/>
          <w:i/>
          <w:color w:val="000000"/>
        </w:rPr>
        <w:t>(C Fx Caçadores do PI/1842)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 w:ascii="Arial" w:hAnsi="Arial"/>
          <w:b/>
          <w:bCs/>
          <w:i/>
          <w:color w:val="000000"/>
        </w:rPr>
        <w:t xml:space="preserve"> </w:t>
      </w:r>
      <w:r>
        <w:rPr>
          <w:rFonts w:cs="Arial" w:ascii="Arial" w:hAnsi="Arial"/>
          <w:b/>
          <w:bCs/>
          <w:i/>
          <w:color w:val="000000"/>
        </w:rPr>
        <w:t xml:space="preserve">BATALHÃO PEDRO TEIXEIRA </w:t>
      </w:r>
      <w:r>
        <w:rPr>
          <w:rFonts w:cs="Arial" w:ascii="Arial" w:hAnsi="Arial"/>
          <w:b/>
          <w:bCs/>
          <w:i/>
          <w:color w:val="FF0000"/>
        </w:rPr>
        <w:t xml:space="preserve"> </w:t>
      </w:r>
    </w:p>
    <w:p>
      <w:pPr>
        <w:pStyle w:val="Normal"/>
        <w:spacing w:lineRule="auto" w:line="312" w:before="120" w:after="288"/>
        <w:jc w:val="center"/>
        <w:rPr>
          <w:b w:val="false"/>
          <w:b w:val="false"/>
          <w:bCs w:val="false"/>
          <w:color w:val="auto"/>
        </w:rPr>
      </w:pPr>
      <w:r>
        <w:rPr>
          <w:rFonts w:cs="Arial" w:ascii="Arial" w:hAnsi="Arial"/>
          <w:b w:val="false"/>
          <w:bCs w:val="false"/>
          <w:iCs/>
          <w:color w:val="auto"/>
          <w:sz w:val="21"/>
          <w:szCs w:val="21"/>
        </w:rPr>
        <w:t xml:space="preserve">(Processo Administrativo n° </w:t>
      </w:r>
      <w:r>
        <w:rPr>
          <w:rFonts w:eastAsia="Arial Unicode MS" w:cs="Arial" w:ascii="Arial" w:hAnsi="Arial"/>
          <w:b w:val="false"/>
          <w:bCs w:val="false"/>
          <w:iCs/>
          <w:color w:val="auto"/>
          <w:kern w:val="2"/>
          <w:sz w:val="21"/>
          <w:szCs w:val="21"/>
          <w:lang w:eastAsia="zh-CN"/>
        </w:rPr>
        <w:t>64116.001057/2024-97</w:t>
      </w:r>
      <w:r>
        <w:rPr>
          <w:rFonts w:cs="Arial" w:ascii="Arial" w:hAnsi="Arial"/>
          <w:b w:val="false"/>
          <w:bCs w:val="false"/>
          <w:iCs/>
          <w:color w:val="auto"/>
          <w:sz w:val="21"/>
          <w:szCs w:val="21"/>
        </w:rPr>
        <w:t>)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firstLine="1418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i/>
          <w:iCs/>
          <w:sz w:val="20"/>
          <w:szCs w:val="20"/>
        </w:rPr>
        <w:t xml:space="preserve">A União </w:t>
      </w:r>
      <w:r>
        <w:rPr>
          <w:rFonts w:eastAsia="Arial" w:cs="Arial" w:ascii="Arial" w:hAnsi="Arial"/>
          <w:sz w:val="20"/>
          <w:szCs w:val="20"/>
        </w:rPr>
        <w:t xml:space="preserve">por intermédio do </w:t>
      </w:r>
      <w:r>
        <w:rPr>
          <w:rFonts w:eastAsia="Arial" w:cs="Times New Roman" w:ascii="Arial" w:hAnsi="Arial"/>
          <w:sz w:val="20"/>
          <w:szCs w:val="20"/>
        </w:rPr>
        <w:t>2º Batalhão de Infantaria de Selva</w:t>
      </w:r>
      <w:r>
        <w:rPr>
          <w:rFonts w:eastAsia="Arial" w:cs="Arial" w:ascii="Arial" w:hAnsi="Arial"/>
          <w:sz w:val="20"/>
          <w:szCs w:val="20"/>
        </w:rPr>
        <w:t xml:space="preserve">, com sede na </w:t>
      </w:r>
      <w:r>
        <w:rPr>
          <w:rFonts w:eastAsia="Arial" w:cs="Times New Roman" w:ascii="Arial" w:hAnsi="Arial"/>
          <w:sz w:val="20"/>
          <w:szCs w:val="20"/>
        </w:rPr>
        <w:t>Avenida Almirante Barroso nº 4421, Souza</w:t>
      </w:r>
      <w:r>
        <w:rPr>
          <w:rFonts w:eastAsia="Arial" w:cs="Arial" w:ascii="Arial" w:hAnsi="Arial"/>
          <w:sz w:val="20"/>
          <w:szCs w:val="20"/>
        </w:rPr>
        <w:t xml:space="preserve">, na cidade de </w:t>
      </w:r>
      <w:r>
        <w:rPr>
          <w:rFonts w:eastAsia="Arial" w:cs="Times New Roman" w:ascii="Arial" w:hAnsi="Arial"/>
          <w:sz w:val="20"/>
          <w:szCs w:val="20"/>
        </w:rPr>
        <w:t>Belém-PA</w:t>
      </w:r>
      <w:r>
        <w:rPr>
          <w:rFonts w:eastAsia="Arial" w:cs="Arial" w:ascii="Arial" w:hAnsi="Arial"/>
          <w:sz w:val="20"/>
          <w:szCs w:val="20"/>
        </w:rPr>
        <w:t xml:space="preserve">, inscrito(a) no CNPJ sob o nº </w:t>
      </w:r>
      <w:r>
        <w:rPr>
          <w:rFonts w:eastAsia="Arial" w:cs="Times New Roman" w:ascii="Arial" w:hAnsi="Arial"/>
          <w:sz w:val="20"/>
          <w:szCs w:val="20"/>
        </w:rPr>
        <w:t>09.612.844/0001-68</w:t>
      </w:r>
      <w:r>
        <w:rPr>
          <w:rFonts w:eastAsia="Arial" w:cs="Arial" w:ascii="Arial" w:hAnsi="Arial"/>
          <w:sz w:val="20"/>
          <w:szCs w:val="20"/>
        </w:rPr>
        <w:t xml:space="preserve">, neste ato representado(a) pelo(a) Sr </w:t>
      </w:r>
      <w:r>
        <w:rPr>
          <w:rFonts w:eastAsia="Arial" w:cs="Arial" w:ascii="Arial" w:hAnsi="Arial"/>
          <w:b/>
          <w:bCs/>
          <w:sz w:val="20"/>
          <w:szCs w:val="20"/>
        </w:rPr>
        <w:t>Rodrigo</w:t>
      </w:r>
      <w:r>
        <w:rPr>
          <w:rFonts w:eastAsia="Arial" w:cs="Arial" w:ascii="Arial" w:hAnsi="Arial"/>
          <w:sz w:val="20"/>
          <w:szCs w:val="20"/>
        </w:rPr>
        <w:t xml:space="preserve"> César de Oliveira </w:t>
      </w:r>
      <w:r>
        <w:rPr>
          <w:rFonts w:eastAsia="Arial" w:cs="Arial" w:ascii="Arial" w:hAnsi="Arial"/>
          <w:b/>
          <w:bCs/>
          <w:sz w:val="20"/>
          <w:szCs w:val="20"/>
        </w:rPr>
        <w:t>Ribeiro</w:t>
      </w:r>
      <w:r>
        <w:rPr>
          <w:rFonts w:eastAsia="Arial" w:cs="Arial" w:ascii="Arial" w:hAnsi="Arial"/>
          <w:sz w:val="20"/>
          <w:szCs w:val="20"/>
        </w:rPr>
        <w:t>, nomeado(a) pela Portaria nº 485-C Ex, de 12 de maio de 2022, publicada no</w:t>
      </w:r>
      <w:r>
        <w:rPr>
          <w:rFonts w:eastAsia="Arial" w:cs="Arial" w:ascii="Arial" w:hAnsi="Arial"/>
          <w:i/>
          <w:iCs/>
          <w:sz w:val="20"/>
          <w:szCs w:val="20"/>
        </w:rPr>
        <w:t xml:space="preserve"> DOU </w:t>
      </w:r>
      <w:r>
        <w:rPr>
          <w:rFonts w:eastAsia="Arial" w:cs="Arial" w:ascii="Arial" w:hAnsi="Arial"/>
          <w:sz w:val="20"/>
          <w:szCs w:val="20"/>
        </w:rPr>
        <w:t xml:space="preserve">de 16 de maio de 2022, portador da Matrícula Funcional nº </w:t>
      </w:r>
      <w:r>
        <w:rPr>
          <w:rFonts w:eastAsia="Arial" w:cs="Arial" w:ascii="Arial" w:hAnsi="Arial"/>
          <w:color w:val="00000A"/>
          <w:sz w:val="20"/>
          <w:szCs w:val="20"/>
        </w:rPr>
        <w:t>01126875465</w:t>
      </w:r>
      <w:r>
        <w:rPr>
          <w:rFonts w:eastAsia="Arial" w:cs="Arial" w:ascii="Arial" w:hAnsi="Arial"/>
          <w:sz w:val="20"/>
          <w:szCs w:val="20"/>
        </w:rPr>
        <w:t>, doravante denomi</w:t>
      </w:r>
      <w:r>
        <w:rPr>
          <w:rFonts w:eastAsia="Arial" w:cs="Arial" w:ascii="Arial" w:hAnsi="Arial"/>
          <w:color w:val="000000"/>
          <w:sz w:val="20"/>
          <w:szCs w:val="20"/>
        </w:rPr>
        <w:t xml:space="preserve">nado CONTRATANTE, e o(a) .............................., </w:t>
      </w:r>
      <w:r>
        <w:rPr>
          <w:rFonts w:eastAsia="Arial" w:cs="Arial" w:ascii="Arial" w:hAnsi="Arial"/>
          <w:i/>
          <w:iCs/>
          <w:color w:val="000000"/>
          <w:sz w:val="20"/>
          <w:szCs w:val="20"/>
        </w:rPr>
        <w:t xml:space="preserve">inscrito(a) no CNPJ/MF sob o nº ............................, </w:t>
      </w:r>
      <w:r>
        <w:rPr>
          <w:rFonts w:eastAsia="Arial" w:cs="Arial" w:ascii="Arial" w:hAnsi="Arial"/>
          <w:color w:val="000000"/>
          <w:sz w:val="20"/>
          <w:szCs w:val="20"/>
        </w:rPr>
        <w:t>sediado(a) na ..................................., doravante designado CONTRATADO, neste ato representado(a) por .................................. (nome e função no contratado), conforme atos constitutivos da empresa, mediante as cláusulas e condições a seguir enunciadas.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 OBJETO</w:t>
      </w:r>
    </w:p>
    <w:p>
      <w:pPr>
        <w:pStyle w:val="Nivel2"/>
        <w:numPr>
          <w:ilvl w:val="0"/>
          <w:numId w:val="1"/>
        </w:numPr>
        <w:ind w:left="0" w:hanging="0"/>
        <w:rPr/>
      </w:pPr>
      <w:r>
        <w:rPr/>
        <w:t xml:space="preserve">A presente Ata tem por objeto o registro de preços para a eventual </w:t>
      </w:r>
      <w:r>
        <w:rPr>
          <w:rFonts w:cs="Arial"/>
          <w:b/>
          <w:bCs/>
          <w:sz w:val="20"/>
          <w:szCs w:val="20"/>
        </w:rPr>
        <w:t>aquisição de material permanente para o 2º BIS e demais organizações participantes</w:t>
      </w:r>
      <w:r>
        <w:rPr/>
        <w:t xml:space="preserve">, especificado(s) no(s) item(ns) 1 à 67 do Termo de Referência, anexo </w:t>
      </w:r>
      <w:r>
        <w:rPr>
          <w:color w:val="000000"/>
        </w:rPr>
        <w:t>do edital de Licitação nº 90006/2024</w:t>
      </w:r>
      <w:r>
        <w:rPr/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20"/>
                <w:szCs w:val="20"/>
              </w:rPr>
              <w:t>Fornecedor (A definir)</w:t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left="0" w:hanging="0"/>
        <w:rPr>
          <w:lang w:eastAsia="en-US"/>
        </w:rPr>
      </w:pPr>
      <w:r>
        <w:rPr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ÓRGÃO(S) GERENCIADOR E  PARTICIPANTE(S)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gerenciador será o 2º Batalhão de Infantaria de Selva.</w:t>
      </w:r>
    </w:p>
    <w:p>
      <w:pPr>
        <w:pStyle w:val="Nvel2Red"/>
        <w:numPr>
          <w:ilvl w:val="1"/>
          <w:numId w:val="1"/>
        </w:numPr>
        <w:ind w:left="0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Além do gerenciador, são órgãos e entidades públicas participantes do registro de preços:</w:t>
      </w:r>
    </w:p>
    <w:tbl>
      <w:tblPr>
        <w:tblW w:w="897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244"/>
        <w:gridCol w:w="2244"/>
        <w:gridCol w:w="2245"/>
        <w:gridCol w:w="2244"/>
      </w:tblGrid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00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00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000000"/>
                <w:sz w:val="20"/>
                <w:szCs w:val="20"/>
              </w:rPr>
              <w:t>Quantidade</w:t>
            </w:r>
          </w:p>
        </w:tc>
      </w:tr>
      <w:tr>
        <w:trPr/>
        <w:tc>
          <w:tcPr>
            <w:tcW w:w="2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>1, 9, 16, 17, 23, 26, 27, 30, 33, 35, 47, 54</w:t>
            </w:r>
          </w:p>
        </w:tc>
        <w:tc>
          <w:tcPr>
            <w:tcW w:w="2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Comissão Regional de Obras</w:t>
            </w:r>
          </w:p>
        </w:tc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2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  <w:tr>
        <w:trPr/>
        <w:tc>
          <w:tcPr>
            <w:tcW w:w="2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eastAsia="Times New Roman" w:cs="Arial"/>
                <w:i/>
                <w:i/>
                <w:iCs/>
                <w:color w:val="000000"/>
                <w:kern w:val="0"/>
                <w:sz w:val="20"/>
                <w:szCs w:val="20"/>
                <w:lang w:val="pt-BR" w:eastAsia="pt-BR" w:bidi="ar-SA"/>
              </w:rPr>
            </w:pPr>
            <w:r>
              <w:rPr>
                <w:rFonts w:eastAsia="Times New Roman" w:cs="Arial" w:ascii="Arial" w:hAnsi="Arial"/>
                <w:i/>
                <w:iCs/>
                <w:color w:val="000000"/>
                <w:kern w:val="0"/>
                <w:sz w:val="20"/>
                <w:szCs w:val="20"/>
                <w:lang w:val="pt-BR" w:eastAsia="pt-BR" w:bidi="ar-SA"/>
              </w:rPr>
              <w:t>1 - 67</w:t>
            </w:r>
          </w:p>
        </w:tc>
        <w:tc>
          <w:tcPr>
            <w:tcW w:w="2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8ª Região Militar</w:t>
            </w:r>
          </w:p>
        </w:tc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2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</w:tbl>
    <w:p>
      <w:pPr>
        <w:pStyle w:val="Nivel01"/>
        <w:numPr>
          <w:ilvl w:val="0"/>
          <w:numId w:val="1"/>
        </w:numPr>
        <w:ind w:left="0" w:hanging="0"/>
        <w:rPr>
          <w:i/>
          <w:i/>
          <w:color w:val="FF0000"/>
        </w:rPr>
      </w:pPr>
      <w:r>
        <w:rPr/>
        <w:t>DA ADESÃO À ATA DE REGISTRO DE PREÇOS</w:t>
      </w:r>
    </w:p>
    <w:p>
      <w:pPr>
        <w:pStyle w:val="Nvel2Red"/>
        <w:numPr>
          <w:ilvl w:val="1"/>
          <w:numId w:val="1"/>
        </w:numPr>
        <w:ind w:left="0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requisitos:</w:t>
      </w:r>
    </w:p>
    <w:p>
      <w:pPr>
        <w:pStyle w:val="Nvel3R"/>
        <w:numPr>
          <w:ilvl w:val="2"/>
          <w:numId w:val="1"/>
        </w:numPr>
        <w:ind w:left="284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apresentação de justificativa da vantagem da adesão, inclusive em situações de provável desabastecimento ou descontinuidade de serviço público;</w:t>
      </w:r>
    </w:p>
    <w:p>
      <w:pPr>
        <w:pStyle w:val="Nvel3R"/>
        <w:numPr>
          <w:ilvl w:val="2"/>
          <w:numId w:val="1"/>
        </w:numPr>
        <w:ind w:left="284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 xml:space="preserve"> </w:t>
      </w:r>
      <w:r>
        <w:rPr>
          <w:i w:val="false"/>
          <w:iCs w:val="false"/>
          <w:color w:val="000000"/>
        </w:rPr>
        <w:t>demonstração de que os valores registrados estão compatíveis com os valores praticados pelo mercado na forma do art. 23 da Lei nº 14.133, de 2021; e</w:t>
      </w:r>
    </w:p>
    <w:p>
      <w:pPr>
        <w:pStyle w:val="Nvel3R"/>
        <w:numPr>
          <w:ilvl w:val="2"/>
          <w:numId w:val="1"/>
        </w:numPr>
        <w:ind w:left="284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 xml:space="preserve"> </w:t>
      </w:r>
      <w:r>
        <w:rPr>
          <w:i w:val="false"/>
          <w:iCs w:val="false"/>
          <w:color w:val="000000"/>
        </w:rPr>
        <w:t>consulta e aceitação prévias do órgão ou da entidade gerenciadora e do fornecedor.</w:t>
      </w:r>
    </w:p>
    <w:p>
      <w:pPr>
        <w:pStyle w:val="Nvel2Red"/>
        <w:numPr>
          <w:ilvl w:val="1"/>
          <w:numId w:val="1"/>
        </w:numPr>
        <w:ind w:left="0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A autorização do órgão ou entidade gerenciadora apenas será realizada após a aceitação da adesão pelo fornecedor.</w:t>
      </w:r>
    </w:p>
    <w:p>
      <w:pPr>
        <w:pStyle w:val="Nvel3R"/>
        <w:numPr>
          <w:ilvl w:val="2"/>
          <w:numId w:val="1"/>
        </w:numPr>
        <w:ind w:left="284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O órgão ou entidade gerenciadora poderá rejeitar adesões caso elas possam acarretar prejuízo à execução de seus próprios contratos ou à sua capacidade de gerenciamento.</w:t>
      </w:r>
    </w:p>
    <w:p>
      <w:pPr>
        <w:pStyle w:val="Nvel2Red"/>
        <w:numPr>
          <w:ilvl w:val="1"/>
          <w:numId w:val="1"/>
        </w:numPr>
        <w:ind w:left="0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 xml:space="preserve"> </w:t>
      </w:r>
      <w:r>
        <w:rPr>
          <w:i w:val="false"/>
          <w:iCs w:val="false"/>
          <w:color w:val="000000"/>
        </w:rPr>
        <w:t>Após a autorização do órgão ou da entidade gerenciadora, o órgão ou entidade não participante deverá efetivar a aquisição ou a contratação solicitada em até noventa dias, observado o prazo de vigência da ata.</w:t>
      </w:r>
    </w:p>
    <w:p>
      <w:pPr>
        <w:pStyle w:val="Nvel2Red"/>
        <w:numPr>
          <w:ilvl w:val="1"/>
          <w:numId w:val="1"/>
        </w:numPr>
        <w:ind w:left="0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 xml:space="preserve"> </w:t>
      </w:r>
      <w:r>
        <w:rPr>
          <w:i w:val="false"/>
          <w:iCs w:val="false"/>
          <w:color w:val="000000"/>
        </w:rPr>
        <w:t>O prazo de que trata o subitem anterior, relativo à efetivação da contratação, poderá ser prorrogado excepcionalmente, mediante solicitação do órgão ou da entidade não participante aceita pelo órgão ou pela entidade gerenciadora, desde que respeitado o limite temporal de vigência da ata de registro de preços.</w:t>
      </w:r>
    </w:p>
    <w:p>
      <w:pPr>
        <w:pStyle w:val="Nvel2Red"/>
        <w:numPr>
          <w:ilvl w:val="1"/>
          <w:numId w:val="1"/>
        </w:numPr>
        <w:ind w:left="0" w:hanging="0"/>
        <w:rPr>
          <w:color w:val="000000"/>
        </w:rPr>
      </w:pPr>
      <w:r>
        <w:rPr>
          <w:i w:val="false"/>
          <w:iCs w:val="false"/>
          <w:color w:val="000000"/>
        </w:rPr>
        <w:t>O órgão ou a entidade poderá aderir a item da ata de registro de preços da qual seja integrante, na qualidade de não participante, para aqueles itens para os quais não tenha quantitativo registrado</w:t>
      </w:r>
    </w:p>
    <w:p>
      <w:pPr>
        <w:pStyle w:val="SubTitNN"/>
        <w:rPr>
          <w:color w:val="000000"/>
        </w:rPr>
      </w:pPr>
      <w:r>
        <w:rPr>
          <w:color w:val="000000"/>
        </w:rPr>
        <w:t>Dos limites para as adesões</w:t>
      </w:r>
    </w:p>
    <w:p>
      <w:pPr>
        <w:pStyle w:val="Nvel2Red"/>
        <w:numPr>
          <w:ilvl w:val="1"/>
          <w:numId w:val="1"/>
        </w:numPr>
        <w:ind w:left="0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As aquisições ou contratações adicionais não poderão exceder, por órgão ou entidade, a cinquenta por cento dos quantitativos dos itens do instrumento convocatório registrados na ata de registro de preços para o gerenciador e para os participantes.</w:t>
      </w:r>
    </w:p>
    <w:p>
      <w:pPr>
        <w:pStyle w:val="Nvel2Red"/>
        <w:numPr>
          <w:ilvl w:val="1"/>
          <w:numId w:val="1"/>
        </w:numPr>
        <w:ind w:left="0" w:hanging="0"/>
        <w:rPr>
          <w:i w:val="false"/>
          <w:i w:val="false"/>
          <w:iCs w:val="false"/>
        </w:rPr>
      </w:pPr>
      <w:r>
        <w:rPr>
          <w:i w:val="false"/>
          <w:iCs w:val="false"/>
          <w:color w:val="000000"/>
        </w:rPr>
        <w:t>O quantitativo decorrente das adesões não poderá exceder, na totalidade, ao dobro do quantitativo de cada item registrado na ata de registro de preços para o gerenciador e os participantes, independentemente do número de órgãos ou entidades não participantes que aderirem à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adesão à ata de registro de preços por órgãos e en</w:t>
      </w:r>
      <w:r>
        <w:rPr>
          <w:rFonts w:eastAsia="Arial"/>
        </w:rPr>
        <w:t>ti</w:t>
      </w:r>
      <w:r>
        <w:rPr/>
        <w:t>dades da Administração Pública estadual, distrital e municipal poderá ser exigida para fins de transferências voluntárias, não ficando sujeita ao limite de que trata o item 4.7, desde que seja des</w:t>
      </w:r>
      <w:r>
        <w:rPr>
          <w:rFonts w:eastAsia="Arial"/>
        </w:rPr>
        <w:t>ti</w:t>
      </w:r>
      <w:r>
        <w:rPr/>
        <w:t>nada à execução descentralizada de programa ou projeto federal e comprovada a compatibilidade dos preços registrados com os valores praticados no mercado na forma do art. 23 da Lei nº 14.133, de 2021.</w:t>
      </w:r>
    </w:p>
    <w:p>
      <w:pPr>
        <w:pStyle w:val="SubTitNN"/>
        <w:rPr/>
      </w:pPr>
      <w:r>
        <w:rPr/>
        <w:t>Vedação a acréscimo de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left="0" w:hanging="0"/>
        <w:rPr>
          <w:iCs/>
        </w:rPr>
      </w:pPr>
      <w:r>
        <w:rPr/>
        <w:t xml:space="preserve">A validade da Ata de Registro de Preços será de 1 (um) ano, contado a partir do primeiro dia útil subsequente à data de divulgação no PNCP, </w:t>
      </w:r>
      <w:r>
        <w:rPr>
          <w:color w:val="000000"/>
        </w:rPr>
        <w:t>podendo ser prorrogada por igual período, mediante a anuência do fornecedor, desde que comprovado o preço vantajoso.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contratação com os fornecedores registrados na ata será formalizada pelo órgão ou pela en</w:t>
      </w:r>
      <w:r>
        <w:rPr>
          <w:rFonts w:eastAsia="Arial"/>
        </w:rPr>
        <w:t>ti</w:t>
      </w:r>
      <w:r>
        <w:rPr/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Serão registrados na ata os preços e os quantita</w:t>
      </w:r>
      <w:r>
        <w:rPr>
          <w:rFonts w:eastAsia="Arial"/>
        </w:rPr>
        <w:t>ti</w:t>
      </w:r>
      <w:r>
        <w:rPr/>
        <w:t xml:space="preserve">vos do adjudicatário, devendo ser observada a possibilidade de o licitante oferecer ou não proposta em quantitativo inferior ao máximo previsto </w:t>
      </w:r>
      <w:r>
        <w:rPr>
          <w:i w:val="false"/>
          <w:iCs w:val="false"/>
          <w:color w:val="000000"/>
        </w:rPr>
        <w:t xml:space="preserve">no </w:t>
      </w:r>
      <w:r>
        <w:rPr>
          <w:b/>
          <w:bCs/>
          <w:i w:val="false"/>
          <w:iCs w:val="false"/>
          <w:color w:val="000000"/>
        </w:rPr>
        <w:t>edital</w:t>
      </w:r>
      <w:r>
        <w:rPr>
          <w:i/>
          <w:iCs/>
          <w:color w:val="FF0000"/>
        </w:rPr>
        <w:t xml:space="preserve"> </w:t>
      </w:r>
      <w:r>
        <w:rPr>
          <w:color w:val="FF0000"/>
        </w:rPr>
        <w:t xml:space="preserve"> </w:t>
      </w:r>
      <w:r>
        <w:rPr/>
        <w:t>e se obrigar nos limites dela;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a que se refere o item 5.4.2</w:t>
      </w:r>
      <w:r>
        <w:rPr>
          <w:b/>
          <w:bCs/>
        </w:rPr>
        <w:t xml:space="preserve"> </w:t>
      </w:r>
      <w:r>
        <w:rPr/>
        <w:t>tem por obje</w:t>
      </w:r>
      <w:r>
        <w:rPr>
          <w:rFonts w:eastAsia="Arial"/>
        </w:rPr>
        <w:t>ti</w:t>
      </w:r>
      <w:r>
        <w:rPr/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habilitação dos licitantes que comporão o cadastro de reserva a que se refere o item </w:t>
      </w:r>
      <w:r>
        <w:rPr/>
        <w:fldChar w:fldCharType="begin"/>
      </w:r>
      <w:r>
        <w:rPr/>
        <w:instrText> REF cadastro_reserva \r \h </w:instrText>
      </w:r>
      <w:r>
        <w:rPr/>
        <w:fldChar w:fldCharType="separate"/>
      </w:r>
      <w:r>
        <w:rPr/>
        <w:t>6.4.2.2.</w:t>
      </w:r>
      <w:r>
        <w:rPr/>
        <w:fldChar w:fldCharType="end"/>
      </w:r>
      <w:r>
        <w:rPr/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Quando o licitante vencedor não assinar a ata de registro de preços, no prazo e nas condições estabelecidos </w:t>
      </w:r>
      <w:r>
        <w:rPr>
          <w:i w:val="false"/>
          <w:iCs w:val="false"/>
          <w:color w:val="000000"/>
        </w:rPr>
        <w:t xml:space="preserve">no </w:t>
      </w:r>
      <w:r>
        <w:rPr>
          <w:b/>
          <w:bCs/>
          <w:i w:val="false"/>
          <w:iCs w:val="false"/>
          <w:color w:val="000000"/>
        </w:rPr>
        <w:t>edital</w:t>
      </w:r>
      <w:r>
        <w:rPr>
          <w:i w:val="false"/>
          <w:iCs w:val="false"/>
          <w:color w:val="000000"/>
        </w:rPr>
        <w:t>;</w:t>
      </w:r>
      <w:r>
        <w:rPr>
          <w:color w:val="FF0000"/>
        </w:rPr>
        <w:t xml:space="preserve"> </w:t>
      </w:r>
      <w:r>
        <w:rPr/>
        <w:t>e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Quando houver o cancelamento do registro do licitante ou do registro de preços nas hipóteses previstas no item </w:t>
      </w:r>
      <w:r>
        <w:rPr/>
        <w:fldChar w:fldCharType="begin"/>
      </w:r>
      <w:r>
        <w:rPr/>
        <w:instrText> REF cancelamento \r \h </w:instrText>
      </w:r>
      <w:r>
        <w:rPr/>
        <w:fldChar w:fldCharType="separate"/>
      </w:r>
      <w:r>
        <w:rPr/>
        <w:t>10.</w:t>
      </w:r>
      <w:r>
        <w:rPr/>
        <w:fldChar w:fldCharType="end"/>
      </w:r>
      <w:r>
        <w:rPr/>
        <w:t>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Quando o convocado não assinar a ata de registro de preços no prazo e nas condições estabelecidos no edital ou no aviso de contratação, e observado o disposto no item </w:t>
      </w:r>
      <w:r>
        <w:rPr/>
        <w:fldChar w:fldCharType="begin"/>
      </w:r>
      <w:r>
        <w:rPr/>
        <w:instrText> REF habilitacao_reserva \r \h </w:instrText>
      </w:r>
      <w:r>
        <w:rPr/>
        <w:fldChar w:fldCharType="separate"/>
      </w:r>
      <w:r>
        <w:rPr/>
        <w:t>Erro: Origem da referência não encontrada</w:t>
      </w:r>
      <w:r>
        <w:rPr/>
        <w:fldChar w:fldCharType="end"/>
      </w:r>
      <w:r>
        <w:rPr/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rPr/>
        <w:t xml:space="preserve">mado e sua eventual atualização nos termos </w:t>
      </w:r>
      <w:r>
        <w:rPr>
          <w:i w:val="false"/>
          <w:iCs w:val="false"/>
          <w:color w:val="000000"/>
        </w:rPr>
        <w:t>do edital</w:t>
      </w:r>
      <w:r>
        <w:rPr/>
        <w:t>, poderá: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ALTERAÇÃO OU ATUALIZAÇÃO DOS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rPr/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color w:val="0000EF"/>
        </w:rPr>
        <w:t>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Em caso de criação, alteração ou ex</w:t>
      </w:r>
      <w:r>
        <w:rPr>
          <w:rFonts w:eastAsia="Calibri"/>
        </w:rPr>
        <w:t>ti</w:t>
      </w:r>
      <w:r>
        <w:rPr/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NEGOCIAÇÃO DE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registrado tornar-se superior ao preço pra</w:t>
      </w:r>
      <w:r>
        <w:rPr>
          <w:rFonts w:eastAsia="Calibri"/>
        </w:rPr>
        <w:t>ti</w:t>
      </w:r>
      <w:r>
        <w:rPr/>
        <w:t>cado no mercado por mo</w:t>
      </w:r>
      <w:r>
        <w:rPr>
          <w:rFonts w:eastAsia="Calibri"/>
        </w:rPr>
        <w:t>ti</w:t>
      </w:r>
      <w:r>
        <w:rPr/>
        <w:t>vo superveniente, o órgão ou en</w:t>
      </w:r>
      <w:r>
        <w:rPr>
          <w:rFonts w:eastAsia="Calibri"/>
        </w:rPr>
        <w:t>ti</w:t>
      </w:r>
      <w:r>
        <w:rPr/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Caso não aceite reduzir seu preço aos valores pra</w:t>
      </w:r>
      <w:r>
        <w:rPr>
          <w:rFonts w:eastAsia="Calibri"/>
        </w:rPr>
        <w:t>ti</w:t>
      </w:r>
      <w:r>
        <w:rPr/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 não obtiver êxito nas negociações, o órgão ou en</w:t>
      </w:r>
      <w:r>
        <w:rPr>
          <w:rFonts w:eastAsia="Calibri"/>
        </w:rPr>
        <w:t>tid</w:t>
      </w:r>
      <w:r>
        <w:rPr/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rFonts w:cs="Calibri" w:ascii="Calibri" w:hAnsi="Calibri"/>
        </w:rPr>
        <w:t>Na hipótese de</w:t>
      </w:r>
      <w:r>
        <w:rPr/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rPr/>
        <w:t xml:space="preserve">dade gerenciadora e o fornecedor deverá cumprir as obrigações estabelecidas na ata, sob pena de cancelamento do seu registro, nos termos do item </w:t>
      </w:r>
      <w:r>
        <w:rPr/>
        <w:fldChar w:fldCharType="begin"/>
      </w:r>
      <w:r>
        <w:rPr/>
        <w:instrText> REF cancelamento_do_fornecedor \r \h </w:instrText>
      </w:r>
      <w:r>
        <w:rPr/>
        <w:fldChar w:fldCharType="separate"/>
      </w:r>
      <w:r>
        <w:rPr/>
        <w:t>10.1.</w:t>
      </w:r>
      <w:r>
        <w:rPr/>
        <w:fldChar w:fldCharType="end"/>
      </w:r>
      <w:r>
        <w:rPr/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Se não obtiver êxito nas negociações, o órgão ou entidade gerenciadora procederá ao cancelamento da ata de registro de preços, nos termos do item </w:t>
      </w:r>
      <w:r>
        <w:rPr/>
        <w:fldChar w:fldCharType="begin"/>
      </w:r>
      <w:r>
        <w:rPr/>
        <w:instrText> REF cancelamento_da_ata \r \h </w:instrText>
      </w:r>
      <w:r>
        <w:rPr/>
        <w:fldChar w:fldCharType="separate"/>
      </w:r>
      <w:r>
        <w:rPr/>
        <w:t>10.4.</w:t>
      </w:r>
      <w:r>
        <w:rPr/>
        <w:fldChar w:fldCharType="end"/>
      </w:r>
      <w:r>
        <w:rPr/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Na hipótese de comprovação da majoração do preço de mercado que inviabilize o preço registrado, conforme previsto no item </w:t>
      </w:r>
      <w:r>
        <w:rPr/>
        <w:fldChar w:fldCharType="begin"/>
      </w:r>
      <w:r>
        <w:rPr/>
        <w:instrText> REF hipotese_preco_mercado_maior \r \h </w:instrText>
      </w:r>
      <w:r>
        <w:rPr/>
        <w:fldChar w:fldCharType="separate"/>
      </w:r>
      <w:r>
        <w:rPr/>
        <w:t>8.2.</w:t>
      </w:r>
      <w:r>
        <w:rPr/>
        <w:fldChar w:fldCharType="end"/>
      </w:r>
      <w:r>
        <w:rPr/>
        <w:t xml:space="preserve"> e no item </w:t>
      </w:r>
      <w:r>
        <w:rPr/>
        <w:fldChar w:fldCharType="begin"/>
      </w:r>
      <w:r>
        <w:rPr/>
        <w:instrText> REF prova_preco_mercado_maior \r \h </w:instrText>
      </w:r>
      <w:r>
        <w:rPr/>
        <w:fldChar w:fldCharType="separate"/>
      </w:r>
      <w:r>
        <w:rPr/>
        <w:t>8.2.1.</w:t>
      </w:r>
      <w:r>
        <w:rPr/>
        <w:fldChar w:fldCharType="end"/>
      </w:r>
      <w:r>
        <w:rPr/>
        <w:t>, o órgão ou en</w:t>
      </w:r>
      <w:r>
        <w:rPr>
          <w:rFonts w:eastAsia="Calibri"/>
        </w:rPr>
        <w:t>ti</w:t>
      </w:r>
      <w:r>
        <w:rPr/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O órgão ou en</w:t>
      </w:r>
      <w:r>
        <w:rPr>
          <w:rFonts w:eastAsia="Calibri"/>
        </w:rPr>
        <w:t>ti</w:t>
      </w:r>
      <w:r>
        <w:rPr/>
        <w:t>dade gerenciadora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sobre a efe</w:t>
      </w:r>
      <w:r>
        <w:rPr>
          <w:rFonts w:eastAsia="Calibri"/>
        </w:rPr>
        <w:t>ti</w:t>
      </w:r>
      <w:r>
        <w:rPr/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As quan</w:t>
      </w:r>
      <w:r>
        <w:rPr>
          <w:rFonts w:eastAsia="Arial"/>
        </w:rPr>
        <w:t>ti</w:t>
      </w:r>
      <w:r>
        <w:rPr/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rPr/>
        <w:t>dade gerenciadora entre os órgãos ou as en</w:t>
      </w:r>
      <w:r>
        <w:rPr>
          <w:rFonts w:eastAsia="Arial"/>
        </w:rPr>
        <w:t>ti</w:t>
      </w:r>
      <w:r>
        <w:rPr/>
        <w:t>dades par</w:t>
      </w:r>
      <w:r>
        <w:rPr>
          <w:rFonts w:eastAsia="Arial"/>
        </w:rPr>
        <w:t>ti</w:t>
      </w:r>
      <w:r>
        <w:rPr/>
        <w:t>cipantes e não par</w:t>
      </w:r>
      <w:r>
        <w:rPr>
          <w:rFonts w:eastAsia="Arial"/>
        </w:rPr>
        <w:t>ti</w:t>
      </w:r>
      <w:r>
        <w:rPr/>
        <w:t>cipantes do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O remanejamento somente poderá ser feito: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entidade não participante.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</w:t>
      </w:r>
      <w:r>
        <w:rPr>
          <w:rFonts w:eastAsia="Arial"/>
        </w:rPr>
        <w:t>ti</w:t>
      </w:r>
      <w:r>
        <w:rPr/>
        <w:t>dade gerenciadora que tiver es</w:t>
      </w:r>
      <w:r>
        <w:rPr>
          <w:rFonts w:eastAsia="Arial"/>
        </w:rPr>
        <w:t>ti</w:t>
      </w:r>
      <w:r>
        <w:rPr/>
        <w:t>mado as quan</w:t>
      </w:r>
      <w:r>
        <w:rPr>
          <w:rFonts w:eastAsia="Arial"/>
        </w:rPr>
        <w:t>ti</w:t>
      </w:r>
      <w:r>
        <w:rPr/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remanejamento de órgão ou entidade par</w:t>
      </w:r>
      <w:r>
        <w:rPr>
          <w:rFonts w:eastAsia="Arial"/>
        </w:rPr>
        <w:t>ti</w:t>
      </w:r>
      <w:r>
        <w:rPr/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Competirá ao órgão ou à en</w:t>
      </w:r>
      <w:r>
        <w:rPr>
          <w:rFonts w:eastAsia="Arial"/>
        </w:rPr>
        <w:t>ti</w:t>
      </w:r>
      <w:r>
        <w:rPr/>
        <w:t>dade gerenciadora autorizar o remanejamento solicitado, com a redução do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 inicialmente informado pelo órgão ou pela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cipante, desde que haja prévia anuência do órgão ou da en</w:t>
      </w:r>
      <w:r>
        <w:rPr>
          <w:rFonts w:eastAsia="Arial"/>
        </w:rPr>
        <w:t>ti</w:t>
      </w:r>
      <w:r>
        <w:rPr/>
        <w:t>dade que sofrer redução dos quantitativos informados.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Caso o remanejamento seja feito entre órgãos ou en</w:t>
      </w:r>
      <w:r>
        <w:rPr>
          <w:rFonts w:eastAsia="Arial"/>
        </w:rPr>
        <w:t>ti</w:t>
      </w:r>
      <w:r>
        <w:rPr/>
        <w:t>dades dos Estados, do Distrito Federal ou de Municípios dis</w:t>
      </w:r>
      <w:r>
        <w:rPr>
          <w:rFonts w:eastAsia="Arial"/>
        </w:rPr>
        <w:t>ti</w:t>
      </w:r>
      <w:r>
        <w:rPr/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da compra centralizada, não havendo indicação pelo órgão ou pela en</w:t>
      </w:r>
      <w:r>
        <w:rPr>
          <w:rFonts w:eastAsia="Arial"/>
        </w:rPr>
        <w:t>ti</w:t>
      </w:r>
      <w:r>
        <w:rPr/>
        <w:t>dade gerenciadora, dos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vos dos par</w:t>
      </w:r>
      <w:r>
        <w:rPr>
          <w:rFonts w:eastAsia="Arial"/>
        </w:rPr>
        <w:t>ti</w:t>
      </w:r>
      <w:r>
        <w:rPr/>
        <w:t xml:space="preserve">cipantes da compra centralizada, nos termos do item </w:t>
      </w:r>
      <w:r>
        <w:rPr/>
        <w:fldChar w:fldCharType="begin"/>
      </w:r>
      <w:r>
        <w:rPr/>
        <w:instrText> REF gerenciador_estimador_é_partic_em_remane \r \h </w:instrText>
      </w:r>
      <w:r>
        <w:rPr/>
        <w:fldChar w:fldCharType="separate"/>
      </w:r>
      <w:r>
        <w:rPr/>
        <w:t>9.3.</w:t>
      </w:r>
      <w:r>
        <w:rPr/>
        <w:fldChar w:fldCharType="end"/>
      </w:r>
      <w:r>
        <w:rPr/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left="0" w:hanging="0"/>
        <w:rPr>
          <w:iCs/>
        </w:rPr>
      </w:pPr>
      <w:r>
        <w:rPr/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re</w:t>
      </w:r>
      <w:r>
        <w:rPr>
          <w:rFonts w:eastAsia="Arial"/>
        </w:rPr>
        <w:t>ti</w:t>
      </w:r>
      <w:r>
        <w:rPr/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 xml:space="preserve">O cancelamento de registros nas hipóteses previstas no item </w:t>
      </w:r>
      <w:r>
        <w:rPr/>
        <w:fldChar w:fldCharType="begin"/>
      </w:r>
      <w:r>
        <w:rPr/>
        <w:instrText> REF cancelamento_do_fornecedor \r \h </w:instrText>
      </w:r>
      <w:r>
        <w:rPr/>
        <w:fldChar w:fldCharType="separate"/>
      </w:r>
      <w:r>
        <w:rPr/>
        <w:t>10.1.</w:t>
      </w:r>
      <w:r>
        <w:rPr/>
        <w:fldChar w:fldCharType="end"/>
      </w:r>
      <w:r>
        <w:rPr/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/>
        <w:t xml:space="preserve">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Por razão de interesse público;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DAS PENALIDADES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 descumprimento da Ata de Registro de Preços ensejará aplicação das penalidades estabelecidas </w:t>
      </w:r>
      <w:r>
        <w:rPr>
          <w:i w:val="false"/>
          <w:iCs w:val="false"/>
          <w:color w:val="000000"/>
        </w:rPr>
        <w:t>no edital.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CONDIÇÕES GERAIS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As condições gerais de execução do objeto, tais como os prazos para entrega e recebimento, as obrigações da Administração e do fornecedor registrado, penalidades e demais condições do ajuste, encontram-se definidos no Termo de Referência, ANEXO</w:t>
      </w:r>
      <w:r>
        <w:rPr>
          <w:i/>
          <w:iCs/>
          <w:color w:val="000000"/>
        </w:rPr>
        <w:t xml:space="preserve"> AO EDITAL.</w:t>
      </w:r>
    </w:p>
    <w:p>
      <w:pPr>
        <w:pStyle w:val="Normal"/>
        <w:widowControl w:val="false"/>
        <w:spacing w:lineRule="auto" w:line="276" w:before="120" w:after="120"/>
        <w:jc w:val="both"/>
        <w:rPr>
          <w:color w:val="auto"/>
        </w:rPr>
      </w:pPr>
      <w:r>
        <w:rPr>
          <w:rFonts w:cs="Arial" w:ascii="Arial" w:hAnsi="Arial"/>
          <w:i/>
          <w:iCs/>
          <w:color w:val="auto"/>
          <w:sz w:val="20"/>
          <w:szCs w:val="20"/>
        </w:rPr>
        <w:t xml:space="preserve">Para firmeza e validade do pactuado, a presente Ata foi lavrada em 03 (três) vias de igual teor, que, depois de lida e achada em ordem, vai assinada pelas partes e encaminhada cópia aos demais órgãos participantes (se houver). 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cs="Arial" w:ascii="Arial" w:hAnsi="Arial"/>
          <w:color w:val="auto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cs="Arial" w:ascii="Arial" w:hAnsi="Arial"/>
          <w:color w:val="auto"/>
          <w:sz w:val="20"/>
          <w:szCs w:val="20"/>
        </w:rPr>
      </w:r>
    </w:p>
    <w:p>
      <w:pPr>
        <w:pStyle w:val="Nivel2"/>
        <w:widowControl w:val="false"/>
        <w:numPr>
          <w:ilvl w:val="0"/>
          <w:numId w:val="0"/>
        </w:numPr>
        <w:spacing w:lineRule="auto" w:line="312" w:before="120" w:after="288"/>
        <w:ind w:left="0" w:firstLine="709"/>
        <w:jc w:val="left"/>
        <w:rPr>
          <w:color w:val="auto"/>
        </w:rPr>
      </w:pPr>
      <w:r>
        <w:rPr>
          <w:rFonts w:cs="Arial"/>
          <w:i/>
          <w:iCs/>
          <w:color w:val="auto"/>
          <w:sz w:val="20"/>
          <w:szCs w:val="20"/>
        </w:rPr>
        <w:t>[Local], [dia] de [mês] de [ano].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12" w:before="120" w:after="288"/>
        <w:ind w:firstLine="709"/>
        <w:jc w:val="center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Representante legal do CONTRATANTE</w:t>
      </w:r>
    </w:p>
    <w:p>
      <w:pPr>
        <w:pStyle w:val="Normal"/>
        <w:spacing w:lineRule="auto" w:line="312" w:before="120" w:after="288"/>
        <w:ind w:firstLine="709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12" w:before="120" w:after="288"/>
        <w:ind w:firstLine="709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12" w:before="120" w:after="288"/>
        <w:ind w:firstLine="709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12" w:before="120" w:after="288"/>
        <w:ind w:firstLine="709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  <w:t>Representante</w:t>
      </w:r>
      <w:r>
        <w:rPr>
          <w:rFonts w:cs="Arial" w:ascii="Arial" w:hAnsi="Arial"/>
          <w:color w:val="000000"/>
          <w:sz w:val="20"/>
          <w:szCs w:val="20"/>
        </w:rPr>
        <w:t xml:space="preserve"> legal do CONTRATADO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Anexo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 w:val="false"/>
                <w:color w:val="000000"/>
                <w:sz w:val="20"/>
                <w:szCs w:val="20"/>
              </w:rPr>
              <w:t>Fornecedor (A definir)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695"/>
        <w:gridCol w:w="11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 w:val="false"/>
                <w:color w:val="000000"/>
                <w:sz w:val="20"/>
                <w:szCs w:val="20"/>
              </w:rPr>
              <w:t>Fornecedor (A definir)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/>
      </w:r>
    </w:p>
    <w:sectPr>
      <w:footerReference w:type="default" r:id="rId3"/>
      <w:type w:val="nextPage"/>
      <w:pgSz w:w="11906" w:h="16838"/>
      <w:pgMar w:left="1701" w:right="1134" w:header="0" w:top="1418" w:footer="708" w:bottom="141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link w:val="Corpodetexto"/>
    <w:uiPriority w:val="99"/>
    <w:qFormat/>
    <w:rsid w:val="002f4c05"/>
    <w:rPr>
      <w:sz w:val="24"/>
      <w:szCs w:val="24"/>
    </w:rPr>
  </w:style>
  <w:style w:type="character" w:styleId="LinkdaInternet">
    <w:name w:val="Link da Internet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link w:val="Cabealho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Citao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link w:val="Ttulo1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Textodebalo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RedChar" w:customStyle="1">
    <w:name w:val="Nível 2 -Red Char"/>
    <w:basedOn w:val="Nivel2Char"/>
    <w:link w:val="Nvel2-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RChar" w:customStyle="1">
    <w:name w:val="Nível 3-R Char"/>
    <w:basedOn w:val="DefaultParagraphFont"/>
    <w:link w:val="Nvel3-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GradeColorida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val="000000" w:themeColor="text1"/>
    </w:rPr>
  </w:style>
  <w:style w:type="paragraph" w:styleId="Nivel1" w:customStyle="1">
    <w:name w:val="Nivel1"/>
    <w:basedOn w:val="Ttulo1"/>
    <w:next w:val="Normal"/>
    <w:link w:val="Nivel1Char"/>
    <w:qFormat/>
    <w:rsid w:val="006362ae"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636001"/>
    <w:pPr>
      <w:tabs>
        <w:tab w:val="clear" w:pos="708"/>
        <w:tab w:val="left" w:pos="567" w:leader="none"/>
      </w:tabs>
      <w:spacing w:lineRule="auto" w:line="276" w:before="120" w:after="120"/>
      <w:ind w:left="0" w:hanging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numPr>
        <w:ilvl w:val="0"/>
        <w:numId w:val="1"/>
      </w:num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paragraph" w:styleId="Nvel2Red" w:customStyle="1">
    <w:name w:val="Nível 2 -Red"/>
    <w:basedOn w:val="Nivel2"/>
    <w:link w:val="Nvel2-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left="0" w:hanging="0"/>
      <w:contextualSpacing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R" w:customStyle="1">
    <w:name w:val="Nível 3-R"/>
    <w:basedOn w:val="Normal"/>
    <w:link w:val="Nvel3-RChar"/>
    <w:qFormat/>
    <w:rsid w:val="00b73e47"/>
    <w:pPr>
      <w:numPr>
        <w:ilvl w:val="0"/>
        <w:numId w:val="1"/>
      </w:numPr>
      <w:spacing w:lineRule="auto" w:line="276" w:before="120" w:after="120"/>
      <w:ind w:left="284" w:hanging="0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left="567" w:hanging="0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Application>LibreOffice/7.1.4.2$Windows_X86_64 LibreOffice_project/a529a4fab45b75fefc5b6226684193eb000654f6</Application>
  <AppVersion>15.0000</AppVersion>
  <Pages>8</Pages>
  <Words>3271</Words>
  <Characters>18148</Characters>
  <CharactersWithSpaces>21177</CharactersWithSpaces>
  <Paragraphs>179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dcterms:modified xsi:type="dcterms:W3CDTF">2024-05-22T11:18:12Z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